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9B59B9">
        <w:trPr>
          <w:trHeight w:val="988"/>
          <w:jc w:val="center"/>
        </w:trPr>
        <w:tc>
          <w:tcPr>
            <w:tcW w:w="710" w:type="dxa"/>
            <w:shd w:val="clear" w:color="auto" w:fill="auto"/>
            <w:vAlign w:val="center"/>
          </w:tcPr>
          <w:p w:rsidR="00E84257" w:rsidRPr="00C75B3B" w:rsidRDefault="00AA0A89"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2362" w:type="dxa"/>
            <w:shd w:val="clear" w:color="auto" w:fill="auto"/>
            <w:vAlign w:val="center"/>
          </w:tcPr>
          <w:p w:rsidR="00E84257" w:rsidRPr="00F377A2" w:rsidRDefault="009B59B9" w:rsidP="00E84257">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БОС-</w:t>
            </w:r>
            <w:r w:rsidRPr="008102DC">
              <w:rPr>
                <w:rFonts w:ascii="Times New Roman" w:hAnsi="Times New Roman"/>
                <w:lang w:val="kk-KZ"/>
              </w:rPr>
              <w:t xml:space="preserve"> логоға арналған құлаққаптар</w:t>
            </w:r>
          </w:p>
        </w:tc>
        <w:tc>
          <w:tcPr>
            <w:tcW w:w="10490" w:type="dxa"/>
          </w:tcPr>
          <w:p w:rsidR="009B59B9" w:rsidRPr="009B59B9" w:rsidRDefault="009B59B9" w:rsidP="009B59B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Times New Roman" w:eastAsia="Times New Roman" w:hAnsi="Times New Roman"/>
                <w:color w:val="202124"/>
                <w:sz w:val="24"/>
                <w:szCs w:val="24"/>
                <w:lang w:val="kk-KZ" w:eastAsia="ru-RU"/>
              </w:rPr>
            </w:pPr>
            <w:r w:rsidRPr="00877EEE">
              <w:rPr>
                <w:rFonts w:ascii="Times New Roman" w:eastAsia="Times New Roman" w:hAnsi="Times New Roman"/>
                <w:color w:val="202124"/>
                <w:sz w:val="24"/>
                <w:szCs w:val="24"/>
                <w:lang w:val="kk-KZ" w:eastAsia="ru-RU"/>
              </w:rPr>
              <w:t>Қосылым түрі - Сымды. Құлаққап ұясы 2 x 3,5 мм</w:t>
            </w:r>
            <w:r>
              <w:rPr>
                <w:rFonts w:ascii="Times New Roman" w:eastAsia="Times New Roman" w:hAnsi="Times New Roman"/>
                <w:color w:val="202124"/>
                <w:sz w:val="24"/>
                <w:szCs w:val="24"/>
                <w:lang w:val="kk-KZ" w:eastAsia="ru-RU"/>
              </w:rPr>
              <w:t xml:space="preserve">. </w:t>
            </w:r>
            <w:r w:rsidRPr="00877EEE">
              <w:rPr>
                <w:rFonts w:ascii="Times New Roman" w:eastAsia="Times New Roman" w:hAnsi="Times New Roman"/>
                <w:color w:val="202124"/>
                <w:sz w:val="24"/>
                <w:szCs w:val="24"/>
                <w:lang w:val="kk-KZ" w:eastAsia="ru-RU"/>
              </w:rPr>
              <w:t>Бекіту түрі – бас бау. Дыбыс деңгейін басқару - Иә.</w:t>
            </w:r>
            <w:r>
              <w:rPr>
                <w:rFonts w:ascii="Times New Roman" w:eastAsia="Times New Roman" w:hAnsi="Times New Roman"/>
                <w:color w:val="202124"/>
                <w:sz w:val="24"/>
                <w:szCs w:val="24"/>
                <w:lang w:val="kk-KZ" w:eastAsia="ru-RU"/>
              </w:rPr>
              <w:t xml:space="preserve"> </w:t>
            </w:r>
            <w:r w:rsidRPr="00877EEE">
              <w:rPr>
                <w:rFonts w:ascii="Times New Roman" w:eastAsia="Times New Roman" w:hAnsi="Times New Roman"/>
                <w:color w:val="202124"/>
                <w:sz w:val="24"/>
                <w:szCs w:val="24"/>
                <w:lang w:val="kk-KZ" w:eastAsia="ru-RU"/>
              </w:rPr>
              <w:t>Кірістірілген микрофон - Иә. Микрофон түрі – Жылжымалы. Корпус материалы – пластик</w:t>
            </w:r>
            <w:r>
              <w:rPr>
                <w:rFonts w:ascii="Times New Roman" w:eastAsia="Times New Roman" w:hAnsi="Times New Roman"/>
                <w:color w:val="202124"/>
                <w:sz w:val="24"/>
                <w:szCs w:val="24"/>
                <w:lang w:val="kk-KZ" w:eastAsia="ru-RU"/>
              </w:rPr>
              <w:t xml:space="preserve">. </w:t>
            </w:r>
            <w:r w:rsidRPr="00877EEE">
              <w:rPr>
                <w:rFonts w:ascii="Times New Roman" w:eastAsia="Times New Roman" w:hAnsi="Times New Roman"/>
                <w:color w:val="202124"/>
                <w:sz w:val="24"/>
                <w:szCs w:val="24"/>
                <w:lang w:val="kk-KZ" w:eastAsia="ru-RU"/>
              </w:rPr>
              <w:t>Кабель ұзындығы - 2,3 м.</w:t>
            </w:r>
          </w:p>
          <w:p w:rsidR="00E84257" w:rsidRPr="00C77E07" w:rsidRDefault="00E84257" w:rsidP="00E84257">
            <w:pPr>
              <w:spacing w:line="0" w:lineRule="atLeast"/>
              <w:rPr>
                <w:rFonts w:ascii="Times New Roman" w:hAnsi="Times New Roman"/>
                <w:lang w:val="kk-KZ"/>
              </w:rPr>
            </w:pP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9B59B9"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C77E07"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AA0A89"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9B59B9" w:rsidP="005D64F7">
            <w:pPr>
              <w:spacing w:line="240" w:lineRule="auto"/>
              <w:rPr>
                <w:rFonts w:ascii="Times New Roman" w:eastAsia="Times New Roman" w:hAnsi="Times New Roman"/>
                <w:color w:val="000000"/>
                <w:sz w:val="20"/>
                <w:szCs w:val="20"/>
              </w:rPr>
            </w:pPr>
            <w:r w:rsidRPr="008102DC">
              <w:rPr>
                <w:rFonts w:ascii="Times New Roman" w:hAnsi="Times New Roman"/>
                <w:lang w:val="kk-KZ"/>
              </w:rPr>
              <w:t>Наушники для БОС-лого</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9B59B9" w:rsidRDefault="009B59B9" w:rsidP="009B59B9">
            <w:pPr>
              <w:textAlignment w:val="top"/>
              <w:rPr>
                <w:rFonts w:ascii="Times New Roman" w:eastAsia="Times New Roman" w:hAnsi="Times New Roman"/>
                <w:sz w:val="24"/>
                <w:szCs w:val="24"/>
                <w:lang w:eastAsia="ru-RU"/>
              </w:rPr>
            </w:pPr>
            <w:r w:rsidRPr="00877EEE">
              <w:rPr>
                <w:rFonts w:ascii="Times New Roman" w:eastAsia="Times New Roman" w:hAnsi="Times New Roman"/>
                <w:sz w:val="24"/>
                <w:szCs w:val="24"/>
                <w:lang w:eastAsia="ru-RU"/>
              </w:rPr>
              <w:t>Тип подключения</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fldChar w:fldCharType="begin"/>
            </w:r>
            <w:r w:rsidRPr="00877EEE">
              <w:rPr>
                <w:rFonts w:ascii="Times New Roman" w:eastAsia="Times New Roman" w:hAnsi="Times New Roman"/>
                <w:sz w:val="24"/>
                <w:szCs w:val="24"/>
                <w:lang w:eastAsia="ru-RU"/>
              </w:rPr>
              <w:instrText xml:space="preserve"> HYPERLINK "https://www.sulpak.kz/f/naushniki/kyzylorda/8596_3/~/~/~/PopularityDesc/default/31" </w:instrText>
            </w:r>
            <w:r w:rsidRPr="00877EEE">
              <w:rPr>
                <w:rFonts w:ascii="Times New Roman" w:eastAsia="Times New Roman" w:hAnsi="Times New Roman"/>
                <w:sz w:val="24"/>
                <w:szCs w:val="24"/>
                <w:lang w:eastAsia="ru-RU"/>
              </w:rPr>
              <w:fldChar w:fldCharType="separate"/>
            </w:r>
            <w:r w:rsidRPr="00877EEE">
              <w:rPr>
                <w:rFonts w:ascii="Times New Roman" w:eastAsia="Times New Roman" w:hAnsi="Times New Roman"/>
                <w:sz w:val="24"/>
                <w:szCs w:val="24"/>
                <w:u w:val="single"/>
                <w:lang w:eastAsia="ru-RU"/>
              </w:rPr>
              <w:t>Проводное</w:t>
            </w:r>
            <w:r w:rsidRPr="00877EEE">
              <w:rPr>
                <w:rFonts w:ascii="Times New Roman" w:eastAsia="Times New Roman" w:hAnsi="Times New Roman"/>
                <w:sz w:val="24"/>
                <w:szCs w:val="24"/>
                <w:lang w:eastAsia="ru-RU"/>
              </w:rPr>
              <w:fldChar w:fldCharType="end"/>
            </w:r>
            <w:r w:rsidRPr="00877EEE">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Разъем наушников</w:t>
            </w:r>
            <w:r w:rsidRPr="00877EEE">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2 х 3.5 мм</w:t>
            </w:r>
            <w:r>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Тип крепления</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t>Оголовье</w:t>
            </w:r>
            <w:r w:rsidRPr="00877EEE">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Регулятор громкости</w:t>
            </w:r>
            <w:r w:rsidRPr="00877EEE">
              <w:rPr>
                <w:rFonts w:ascii="Times New Roman" w:eastAsia="Times New Roman" w:hAnsi="Times New Roman"/>
                <w:sz w:val="24"/>
                <w:szCs w:val="24"/>
                <w:lang w:val="kk-KZ" w:eastAsia="ru-RU"/>
              </w:rPr>
              <w:t xml:space="preserve"> - </w:t>
            </w:r>
            <w:r>
              <w:fldChar w:fldCharType="begin"/>
            </w:r>
            <w:r>
              <w:instrText>HYPERLINK "https://www.sulpak.kz/f/naushniki/kyzylorda/7365_6/~/~/~/PopularityDesc/default/31"</w:instrText>
            </w:r>
            <w:r>
              <w:fldChar w:fldCharType="separate"/>
            </w:r>
            <w:r w:rsidRPr="00877EEE">
              <w:rPr>
                <w:rFonts w:ascii="Times New Roman" w:eastAsia="Times New Roman" w:hAnsi="Times New Roman"/>
                <w:sz w:val="24"/>
                <w:szCs w:val="24"/>
                <w:u w:val="single"/>
                <w:lang w:eastAsia="ru-RU"/>
              </w:rPr>
              <w:t>Да</w:t>
            </w:r>
            <w:r>
              <w:fldChar w:fldCharType="end"/>
            </w:r>
            <w:r w:rsidRPr="00877EEE">
              <w:rPr>
                <w:rFonts w:ascii="Times New Roman" w:eastAsia="Times New Roman" w:hAnsi="Times New Roman"/>
                <w:sz w:val="24"/>
                <w:szCs w:val="24"/>
                <w:lang w:val="kk-KZ" w:eastAsia="ru-RU"/>
              </w:rPr>
              <w:t>.</w:t>
            </w:r>
            <w:r>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Встроенный микрофон</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t>Да</w:t>
            </w:r>
            <w:r w:rsidRPr="00877EEE">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Тип микрофона</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t>Подвижный</w:t>
            </w:r>
            <w:r w:rsidRPr="00877EEE">
              <w:rPr>
                <w:rFonts w:ascii="Times New Roman" w:eastAsia="Times New Roman" w:hAnsi="Times New Roman"/>
                <w:sz w:val="24"/>
                <w:szCs w:val="24"/>
                <w:lang w:val="kk-KZ" w:eastAsia="ru-RU"/>
              </w:rPr>
              <w:t xml:space="preserve">. </w:t>
            </w:r>
            <w:r w:rsidRPr="00877EEE">
              <w:rPr>
                <w:rFonts w:ascii="Times New Roman" w:eastAsia="Times New Roman" w:hAnsi="Times New Roman"/>
                <w:sz w:val="24"/>
                <w:szCs w:val="24"/>
                <w:lang w:eastAsia="ru-RU"/>
              </w:rPr>
              <w:t>Материал корпуса</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t>Пластик</w:t>
            </w:r>
            <w:r w:rsidRPr="00877EEE">
              <w:rPr>
                <w:rFonts w:ascii="Times New Roman" w:eastAsia="Times New Roman" w:hAnsi="Times New Roman"/>
                <w:sz w:val="24"/>
                <w:szCs w:val="24"/>
                <w:lang w:val="kk-KZ" w:eastAsia="ru-RU"/>
              </w:rPr>
              <w:t>. Д</w:t>
            </w:r>
            <w:proofErr w:type="spellStart"/>
            <w:r w:rsidRPr="00877EEE">
              <w:rPr>
                <w:rFonts w:ascii="Times New Roman" w:eastAsia="Times New Roman" w:hAnsi="Times New Roman"/>
                <w:sz w:val="24"/>
                <w:szCs w:val="24"/>
                <w:lang w:eastAsia="ru-RU"/>
              </w:rPr>
              <w:t>лина</w:t>
            </w:r>
            <w:proofErr w:type="spellEnd"/>
            <w:r w:rsidRPr="00877EEE">
              <w:rPr>
                <w:rFonts w:ascii="Times New Roman" w:eastAsia="Times New Roman" w:hAnsi="Times New Roman"/>
                <w:sz w:val="24"/>
                <w:szCs w:val="24"/>
                <w:lang w:eastAsia="ru-RU"/>
              </w:rPr>
              <w:t xml:space="preserve"> кабеля</w:t>
            </w:r>
            <w:r w:rsidRPr="00877EEE">
              <w:rPr>
                <w:rFonts w:ascii="Times New Roman" w:eastAsia="Times New Roman" w:hAnsi="Times New Roman"/>
                <w:sz w:val="24"/>
                <w:szCs w:val="24"/>
                <w:lang w:val="kk-KZ" w:eastAsia="ru-RU"/>
              </w:rPr>
              <w:t xml:space="preserve"> - </w:t>
            </w:r>
            <w:r w:rsidRPr="00877EEE">
              <w:rPr>
                <w:rFonts w:ascii="Times New Roman" w:eastAsia="Times New Roman" w:hAnsi="Times New Roman"/>
                <w:sz w:val="24"/>
                <w:szCs w:val="24"/>
                <w:lang w:eastAsia="ru-RU"/>
              </w:rPr>
              <w:t>2,3 м</w:t>
            </w:r>
            <w:r w:rsidRPr="00877EEE">
              <w:rPr>
                <w:rFonts w:ascii="Times New Roman" w:eastAsia="Times New Roman" w:hAnsi="Times New Roman"/>
                <w:sz w:val="24"/>
                <w:szCs w:val="24"/>
                <w:lang w:val="kk-KZ"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9B59B9"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C77E07">
        <w:rPr>
          <w:rFonts w:ascii="Times New Roman" w:hAnsi="Times New Roman"/>
          <w:b/>
          <w:sz w:val="21"/>
          <w:szCs w:val="21"/>
        </w:rPr>
        <w:t>Главная медицинская сестра</w:t>
      </w:r>
      <w:r>
        <w:rPr>
          <w:rFonts w:ascii="Times New Roman" w:hAnsi="Times New Roman"/>
          <w:b/>
          <w:sz w:val="21"/>
          <w:szCs w:val="21"/>
        </w:rPr>
        <w:t>____</w:t>
      </w:r>
      <w:r w:rsidR="00C77E07">
        <w:rPr>
          <w:rFonts w:ascii="Times New Roman" w:hAnsi="Times New Roman"/>
          <w:b/>
          <w:sz w:val="21"/>
          <w:szCs w:val="21"/>
        </w:rPr>
        <w:t xml:space="preserve">______________________ </w:t>
      </w:r>
      <w:proofErr w:type="spellStart"/>
      <w:r w:rsidR="00C77E07">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C77E07">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800E2"/>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63D30"/>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B59B9"/>
    <w:rsid w:val="009D394F"/>
    <w:rsid w:val="00A079FA"/>
    <w:rsid w:val="00A150DF"/>
    <w:rsid w:val="00A1556A"/>
    <w:rsid w:val="00A169F0"/>
    <w:rsid w:val="00A44599"/>
    <w:rsid w:val="00A5520A"/>
    <w:rsid w:val="00A82BE6"/>
    <w:rsid w:val="00A86391"/>
    <w:rsid w:val="00A95099"/>
    <w:rsid w:val="00A97535"/>
    <w:rsid w:val="00A97556"/>
    <w:rsid w:val="00AA0A89"/>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77E07"/>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377A"/>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039EC"/>
    <w:rsid w:val="00F13B09"/>
    <w:rsid w:val="00F1542A"/>
    <w:rsid w:val="00F27513"/>
    <w:rsid w:val="00F377A2"/>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3194F-12E1-4F73-8389-0E762F0B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1167</Words>
  <Characters>6655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2024-04-10T04:29:00Z</dcterms:created>
  <dcterms:modified xsi:type="dcterms:W3CDTF">2024-05-27T08:50:00Z</dcterms:modified>
</cp:coreProperties>
</file>